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7A" w:rsidRPr="00F052B1" w:rsidRDefault="008F6F7A" w:rsidP="00B60450">
      <w:pPr>
        <w:spacing w:line="360" w:lineRule="auto"/>
        <w:jc w:val="both"/>
        <w:rPr>
          <w:rFonts w:asciiTheme="majorBidi" w:hAnsiTheme="majorBidi" w:cstheme="majorBidi"/>
          <w:b/>
          <w:bCs/>
          <w:i/>
          <w:iCs/>
          <w:sz w:val="28"/>
          <w:szCs w:val="28"/>
        </w:rPr>
      </w:pPr>
      <w:r w:rsidRPr="00F052B1">
        <w:rPr>
          <w:rFonts w:asciiTheme="majorBidi" w:hAnsiTheme="majorBidi" w:cstheme="majorBidi"/>
          <w:b/>
          <w:bCs/>
          <w:sz w:val="28"/>
          <w:szCs w:val="28"/>
        </w:rPr>
        <w:t>Introduction</w:t>
      </w:r>
      <w:r w:rsidR="00CB228A" w:rsidRPr="00F052B1">
        <w:rPr>
          <w:rFonts w:asciiTheme="majorBidi" w:hAnsiTheme="majorBidi" w:cstheme="majorBidi"/>
          <w:b/>
          <w:bCs/>
          <w:sz w:val="28"/>
          <w:szCs w:val="28"/>
        </w:rPr>
        <w:t> </w:t>
      </w:r>
      <w:r w:rsidR="0012690D" w:rsidRPr="00F052B1">
        <w:rPr>
          <w:rFonts w:asciiTheme="majorBidi" w:hAnsiTheme="majorBidi" w:cstheme="majorBidi"/>
          <w:b/>
          <w:bCs/>
          <w:sz w:val="28"/>
          <w:szCs w:val="28"/>
        </w:rPr>
        <w:t>générale :</w:t>
      </w:r>
    </w:p>
    <w:p w:rsidR="008F6F7A" w:rsidRPr="003138AF" w:rsidRDefault="008F6F7A" w:rsidP="00BD3003">
      <w:pPr>
        <w:spacing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L’étude des structures cristallines par diffraction des rayons  X  a connu depuis quelques années un essor considérable.</w:t>
      </w:r>
      <w:r w:rsidR="00BD3003" w:rsidRPr="003138AF">
        <w:rPr>
          <w:rFonts w:asciiTheme="majorBidi" w:hAnsiTheme="majorBidi" w:cstheme="majorBidi"/>
          <w:sz w:val="24"/>
          <w:szCs w:val="24"/>
        </w:rPr>
        <w:t xml:space="preserve"> </w:t>
      </w:r>
      <w:r w:rsidRPr="003138AF">
        <w:rPr>
          <w:rFonts w:asciiTheme="majorBidi" w:hAnsiTheme="majorBidi" w:cstheme="majorBidi"/>
          <w:sz w:val="24"/>
          <w:szCs w:val="24"/>
        </w:rPr>
        <w:t>L’augmentation de la précision des résultats obtenus, grâce à l’efficacité du matériel expérimental (diffractomètre à quatre cercles) d’une part et au traitement rigoureux des données brutes d’autre part, a suscité un nombre important de travaux. La mise au point des méthodes directes a marqué un tournant décisif en cristallographie durant les années 1960 à 1970. La connaissance d’un très grand nombre de structures étant ainsi rendue possible, la cristallographie est alors devenue un outil très précieux pour les chimistes, les biologistes et les physiciens.</w:t>
      </w:r>
    </w:p>
    <w:p w:rsidR="00E804B0" w:rsidRPr="003138AF" w:rsidRDefault="00BD3003" w:rsidP="003D6991">
      <w:pPr>
        <w:widowControl w:val="0"/>
        <w:tabs>
          <w:tab w:val="left" w:pos="-54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ab/>
      </w:r>
      <w:r w:rsidR="00E804B0" w:rsidRPr="003138AF">
        <w:rPr>
          <w:rFonts w:asciiTheme="majorBidi" w:hAnsiTheme="majorBidi" w:cstheme="majorBidi"/>
          <w:sz w:val="24"/>
          <w:szCs w:val="24"/>
        </w:rPr>
        <w:t>A partir d’un spectre de diffraction des rayons X correctement enregistré et traité, il est possible d’accéder à la résolution de la structure cristalline par diverses méthodes, puis à l’affinement de la structure obtenue.</w:t>
      </w:r>
    </w:p>
    <w:p w:rsidR="008F6F7A" w:rsidRPr="003138AF" w:rsidRDefault="00BD3003" w:rsidP="00D31BF3">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ab/>
      </w:r>
      <w:r w:rsidR="008F6F7A" w:rsidRPr="003138AF">
        <w:rPr>
          <w:rFonts w:asciiTheme="majorBidi" w:hAnsiTheme="majorBidi" w:cstheme="majorBidi"/>
          <w:sz w:val="24"/>
          <w:szCs w:val="24"/>
        </w:rPr>
        <w:t xml:space="preserve">Notre étude a pour objet la détermination de la </w:t>
      </w:r>
      <w:r w:rsidR="00D31BF3" w:rsidRPr="003138AF">
        <w:rPr>
          <w:rFonts w:asciiTheme="majorBidi" w:hAnsiTheme="majorBidi" w:cstheme="majorBidi"/>
          <w:sz w:val="24"/>
          <w:szCs w:val="24"/>
        </w:rPr>
        <w:t>structure cristalline tridimensionnelle d’un composé hétérocyclique appartenant à la famille des thiazoles de formule chimique C18H14N2S2O4</w:t>
      </w:r>
      <w:r w:rsidR="00E804B0" w:rsidRPr="003138AF">
        <w:rPr>
          <w:rFonts w:asciiTheme="majorBidi" w:hAnsiTheme="majorBidi" w:cstheme="majorBidi"/>
          <w:sz w:val="24"/>
          <w:szCs w:val="24"/>
        </w:rPr>
        <w:t xml:space="preserve"> notée : </w:t>
      </w:r>
      <w:r w:rsidR="00AC75BF" w:rsidRPr="003138AF">
        <w:rPr>
          <w:rFonts w:asciiTheme="majorBidi" w:hAnsiTheme="majorBidi" w:cstheme="majorBidi"/>
          <w:sz w:val="24"/>
          <w:szCs w:val="24"/>
        </w:rPr>
        <w:t>ARNO. Les</w:t>
      </w:r>
      <w:r w:rsidR="00E804B0" w:rsidRPr="003138AF">
        <w:rPr>
          <w:rFonts w:asciiTheme="majorBidi" w:hAnsiTheme="majorBidi" w:cstheme="majorBidi"/>
          <w:sz w:val="24"/>
          <w:szCs w:val="24"/>
        </w:rPr>
        <w:t xml:space="preserve"> thiazoles </w:t>
      </w:r>
      <w:r w:rsidR="008D475D" w:rsidRPr="003138AF">
        <w:rPr>
          <w:rFonts w:asciiTheme="majorBidi" w:hAnsiTheme="majorBidi" w:cstheme="majorBidi"/>
          <w:sz w:val="24"/>
          <w:szCs w:val="24"/>
        </w:rPr>
        <w:t xml:space="preserve">ont fait l’objet de plusieurs études pour </w:t>
      </w:r>
      <w:r w:rsidR="00AC75BF" w:rsidRPr="003138AF">
        <w:rPr>
          <w:rFonts w:asciiTheme="majorBidi" w:hAnsiTheme="majorBidi" w:cstheme="majorBidi"/>
          <w:sz w:val="24"/>
          <w:szCs w:val="24"/>
        </w:rPr>
        <w:t>leurs potentielles applications</w:t>
      </w:r>
      <w:r w:rsidR="008D475D" w:rsidRPr="003138AF">
        <w:rPr>
          <w:rFonts w:asciiTheme="majorBidi" w:hAnsiTheme="majorBidi" w:cstheme="majorBidi"/>
          <w:sz w:val="24"/>
          <w:szCs w:val="24"/>
        </w:rPr>
        <w:t xml:space="preserve"> dans le domaine de </w:t>
      </w:r>
      <w:r w:rsidR="00AC75BF" w:rsidRPr="003138AF">
        <w:rPr>
          <w:rFonts w:asciiTheme="majorBidi" w:hAnsiTheme="majorBidi" w:cstheme="majorBidi"/>
          <w:sz w:val="24"/>
          <w:szCs w:val="24"/>
        </w:rPr>
        <w:t>l’optoélectronique</w:t>
      </w:r>
      <w:r w:rsidR="00AC75BF" w:rsidRPr="003138AF">
        <w:rPr>
          <w:rFonts w:asciiTheme="majorBidi" w:hAnsiTheme="majorBidi" w:cstheme="majorBidi"/>
          <w:b/>
          <w:bCs/>
          <w:sz w:val="24"/>
          <w:szCs w:val="24"/>
        </w:rPr>
        <w:t xml:space="preserve"> [1]</w:t>
      </w:r>
      <w:r w:rsidR="008D475D" w:rsidRPr="003138AF">
        <w:rPr>
          <w:rFonts w:asciiTheme="majorBidi" w:hAnsiTheme="majorBidi" w:cstheme="majorBidi"/>
          <w:sz w:val="24"/>
          <w:szCs w:val="24"/>
        </w:rPr>
        <w:t>.</w:t>
      </w:r>
    </w:p>
    <w:p w:rsidR="008F6F7A" w:rsidRPr="003138AF" w:rsidRDefault="00BD3003" w:rsidP="004D5537">
      <w:pPr>
        <w:widowControl w:val="0"/>
        <w:tabs>
          <w:tab w:val="left" w:pos="0"/>
          <w:tab w:val="left" w:pos="709"/>
        </w:tabs>
        <w:autoSpaceDE w:val="0"/>
        <w:autoSpaceDN w:val="0"/>
        <w:adjustRightInd w:val="0"/>
        <w:spacing w:after="0" w:line="360" w:lineRule="auto"/>
        <w:jc w:val="both"/>
        <w:rPr>
          <w:rFonts w:asciiTheme="majorBidi" w:hAnsiTheme="majorBidi" w:cstheme="majorBidi"/>
          <w:sz w:val="24"/>
          <w:szCs w:val="24"/>
        </w:rPr>
      </w:pPr>
      <w:r w:rsidRPr="003138AF">
        <w:rPr>
          <w:rFonts w:asciiTheme="majorBidi" w:hAnsiTheme="majorBidi" w:cstheme="majorBidi"/>
          <w:sz w:val="24"/>
          <w:szCs w:val="24"/>
        </w:rPr>
        <w:tab/>
      </w:r>
      <w:r w:rsidR="008F6F7A" w:rsidRPr="003138AF">
        <w:rPr>
          <w:rFonts w:asciiTheme="majorBidi" w:hAnsiTheme="majorBidi" w:cstheme="majorBidi"/>
          <w:sz w:val="24"/>
          <w:szCs w:val="24"/>
        </w:rPr>
        <w:t xml:space="preserve">Le noyau thiazole occupe une place privilégiée en synthèse organique. Il est  présent  dans beaucoup de molécules hétérocycliques </w:t>
      </w:r>
      <w:r w:rsidR="00DD3407" w:rsidRPr="003138AF">
        <w:rPr>
          <w:rFonts w:asciiTheme="majorBidi" w:hAnsiTheme="majorBidi" w:cstheme="majorBidi"/>
          <w:sz w:val="24"/>
          <w:szCs w:val="24"/>
        </w:rPr>
        <w:t>possédant  diverses</w:t>
      </w:r>
      <w:r w:rsidR="008F6F7A" w:rsidRPr="003138AF">
        <w:rPr>
          <w:rFonts w:asciiTheme="majorBidi" w:hAnsiTheme="majorBidi" w:cstheme="majorBidi"/>
          <w:sz w:val="24"/>
          <w:szCs w:val="24"/>
        </w:rPr>
        <w:t xml:space="preserve"> applications dans différents domaines. Ces dernières années le noyau  thiazole et ses dérives  sont également utilisés dans la préparation de matériaux  supraconducteurs </w:t>
      </w:r>
      <w:r w:rsidR="003F6F3C" w:rsidRPr="003138AF">
        <w:rPr>
          <w:rFonts w:asciiTheme="majorBidi" w:hAnsiTheme="majorBidi" w:cstheme="majorBidi"/>
          <w:b/>
          <w:bCs/>
          <w:sz w:val="24"/>
          <w:szCs w:val="24"/>
        </w:rPr>
        <w:t>[</w:t>
      </w:r>
      <w:r w:rsidR="00AC75BF" w:rsidRPr="003138AF">
        <w:rPr>
          <w:rFonts w:asciiTheme="majorBidi" w:hAnsiTheme="majorBidi" w:cstheme="majorBidi"/>
          <w:b/>
          <w:bCs/>
          <w:sz w:val="24"/>
          <w:szCs w:val="24"/>
        </w:rPr>
        <w:t>2</w:t>
      </w:r>
      <w:r w:rsidR="003F6F3C" w:rsidRPr="003138AF">
        <w:rPr>
          <w:rFonts w:asciiTheme="majorBidi" w:hAnsiTheme="majorBidi" w:cstheme="majorBidi"/>
          <w:b/>
          <w:bCs/>
          <w:sz w:val="24"/>
          <w:szCs w:val="24"/>
        </w:rPr>
        <w:t>]</w:t>
      </w:r>
      <w:r w:rsidR="008F6F7A" w:rsidRPr="003138AF">
        <w:rPr>
          <w:rFonts w:asciiTheme="majorBidi" w:hAnsiTheme="majorBidi" w:cstheme="majorBidi"/>
          <w:sz w:val="24"/>
          <w:szCs w:val="24"/>
        </w:rPr>
        <w:t>.</w:t>
      </w:r>
    </w:p>
    <w:p w:rsidR="008F6F7A" w:rsidRPr="003138AF" w:rsidRDefault="004D5537" w:rsidP="004D5537">
      <w:pPr>
        <w:widowControl w:val="0"/>
        <w:tabs>
          <w:tab w:val="left" w:pos="0"/>
          <w:tab w:val="left" w:pos="851"/>
        </w:tabs>
        <w:autoSpaceDE w:val="0"/>
        <w:autoSpaceDN w:val="0"/>
        <w:adjustRightInd w:val="0"/>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 </w:t>
      </w:r>
      <w:r w:rsidR="003D6991" w:rsidRPr="003138AF">
        <w:rPr>
          <w:rFonts w:asciiTheme="majorBidi" w:hAnsiTheme="majorBidi" w:cstheme="majorBidi"/>
          <w:sz w:val="24"/>
          <w:szCs w:val="24"/>
        </w:rPr>
        <w:t>Citons</w:t>
      </w:r>
      <w:r w:rsidR="008F6F7A" w:rsidRPr="003138AF">
        <w:rPr>
          <w:rFonts w:asciiTheme="majorBidi" w:hAnsiTheme="majorBidi" w:cstheme="majorBidi"/>
          <w:sz w:val="24"/>
          <w:szCs w:val="24"/>
        </w:rPr>
        <w:t xml:space="preserve"> les principales méthodes de synthèse, parmi lesquelles la cyclisation de Hantzsch  une des plus anciennes méthodes pour la préparation des hétérocycles thiazoliques.</w:t>
      </w:r>
    </w:p>
    <w:p w:rsidR="003D6991" w:rsidRPr="003138AF" w:rsidRDefault="00F55455" w:rsidP="00AC75BF">
      <w:pPr>
        <w:widowControl w:val="0"/>
        <w:tabs>
          <w:tab w:val="left" w:pos="0"/>
        </w:tabs>
        <w:autoSpaceDE w:val="0"/>
        <w:autoSpaceDN w:val="0"/>
        <w:adjustRightInd w:val="0"/>
        <w:spacing w:after="0" w:line="360" w:lineRule="auto"/>
        <w:jc w:val="both"/>
        <w:rPr>
          <w:rFonts w:asciiTheme="majorBidi" w:hAnsiTheme="majorBidi" w:cstheme="majorBidi"/>
          <w:sz w:val="24"/>
          <w:szCs w:val="24"/>
        </w:rPr>
      </w:pPr>
      <w:r w:rsidRPr="003138AF">
        <w:rPr>
          <w:rFonts w:asciiTheme="majorBidi" w:hAnsiTheme="majorBidi" w:cstheme="majorBidi"/>
          <w:sz w:val="24"/>
          <w:szCs w:val="24"/>
          <w:rtl/>
        </w:rPr>
        <w:t xml:space="preserve">        </w:t>
      </w:r>
      <w:r w:rsidR="008F6F7A" w:rsidRPr="003138AF">
        <w:rPr>
          <w:rFonts w:asciiTheme="majorBidi" w:hAnsiTheme="majorBidi" w:cstheme="majorBidi"/>
          <w:sz w:val="24"/>
          <w:szCs w:val="24"/>
        </w:rPr>
        <w:t>-Synthèse de Hantzsch :</w:t>
      </w:r>
      <w:r w:rsidR="003D6991" w:rsidRPr="003138AF">
        <w:rPr>
          <w:rFonts w:asciiTheme="majorBidi" w:hAnsiTheme="majorBidi" w:cstheme="majorBidi"/>
          <w:sz w:val="24"/>
          <w:szCs w:val="24"/>
        </w:rPr>
        <w:t xml:space="preserve"> La synthèse de Hantzsch est la voie d’accès la plus directe ; cette voie a été entreprise par de nombreux chercheurs  pour la synthèse de nombreux thiazoles et leurs dérives</w:t>
      </w:r>
      <w:r w:rsidR="00E14050" w:rsidRPr="003138AF">
        <w:rPr>
          <w:rFonts w:asciiTheme="majorBidi" w:hAnsiTheme="majorBidi" w:cstheme="majorBidi"/>
          <w:sz w:val="24"/>
          <w:szCs w:val="24"/>
        </w:rPr>
        <w:t xml:space="preserve"> </w:t>
      </w:r>
      <w:r w:rsidR="00E14050" w:rsidRPr="003138AF">
        <w:rPr>
          <w:rFonts w:asciiTheme="majorBidi" w:hAnsiTheme="majorBidi" w:cstheme="majorBidi"/>
          <w:b/>
          <w:bCs/>
          <w:sz w:val="24"/>
          <w:szCs w:val="24"/>
        </w:rPr>
        <w:t>[</w:t>
      </w:r>
      <w:r w:rsidR="00AC75BF" w:rsidRPr="003138AF">
        <w:rPr>
          <w:rFonts w:asciiTheme="majorBidi" w:hAnsiTheme="majorBidi" w:cstheme="majorBidi"/>
          <w:b/>
          <w:bCs/>
          <w:sz w:val="24"/>
          <w:szCs w:val="24"/>
        </w:rPr>
        <w:t>3</w:t>
      </w:r>
      <w:r w:rsidR="00E14050" w:rsidRPr="003138AF">
        <w:rPr>
          <w:rFonts w:asciiTheme="majorBidi" w:hAnsiTheme="majorBidi" w:cstheme="majorBidi"/>
          <w:b/>
          <w:bCs/>
          <w:sz w:val="24"/>
          <w:szCs w:val="24"/>
        </w:rPr>
        <w:t>]</w:t>
      </w:r>
      <w:r w:rsidR="003D6991" w:rsidRPr="003138AF">
        <w:rPr>
          <w:rFonts w:asciiTheme="majorBidi" w:hAnsiTheme="majorBidi" w:cstheme="majorBidi"/>
          <w:sz w:val="24"/>
          <w:szCs w:val="24"/>
        </w:rPr>
        <w:t xml:space="preserve"> ; elle repose sur la condensation d’un composé portant deux hétéroatomes géminés avec des dérivés carbonylés α halogénés </w:t>
      </w:r>
      <w:r w:rsidR="003D6991" w:rsidRPr="003138AF">
        <w:rPr>
          <w:rFonts w:asciiTheme="majorBidi" w:hAnsiTheme="majorBidi" w:cstheme="majorBidi"/>
          <w:b/>
          <w:bCs/>
          <w:sz w:val="24"/>
          <w:szCs w:val="24"/>
        </w:rPr>
        <w:t>[</w:t>
      </w:r>
      <w:r w:rsidR="00AC75BF" w:rsidRPr="003138AF">
        <w:rPr>
          <w:rFonts w:asciiTheme="majorBidi" w:hAnsiTheme="majorBidi" w:cstheme="majorBidi"/>
          <w:b/>
          <w:bCs/>
          <w:sz w:val="24"/>
          <w:szCs w:val="24"/>
        </w:rPr>
        <w:t>4</w:t>
      </w:r>
      <w:r w:rsidR="003D6991" w:rsidRPr="003138AF">
        <w:rPr>
          <w:rFonts w:asciiTheme="majorBidi" w:hAnsiTheme="majorBidi" w:cstheme="majorBidi"/>
          <w:b/>
          <w:bCs/>
          <w:sz w:val="24"/>
          <w:szCs w:val="24"/>
        </w:rPr>
        <w:t>]</w:t>
      </w:r>
      <w:r w:rsidR="003D56E0">
        <w:rPr>
          <w:rFonts w:asciiTheme="majorBidi" w:hAnsiTheme="majorBidi" w:cstheme="majorBidi"/>
          <w:sz w:val="24"/>
          <w:szCs w:val="24"/>
        </w:rPr>
        <w:t xml:space="preserve">.   </w:t>
      </w:r>
      <w:r w:rsidR="003D6991" w:rsidRPr="003138AF">
        <w:rPr>
          <w:rFonts w:asciiTheme="majorBidi" w:hAnsiTheme="majorBidi" w:cstheme="majorBidi"/>
          <w:sz w:val="24"/>
          <w:szCs w:val="24"/>
        </w:rPr>
        <w:t xml:space="preserve"> </w:t>
      </w:r>
    </w:p>
    <w:p w:rsidR="008F6F7A" w:rsidRPr="003138AF" w:rsidRDefault="008F6F7A" w:rsidP="00B214E1">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-Cycloaddition des alcynes sur  des composés sulfurés </w:t>
      </w:r>
      <w:r w:rsidR="003D6991" w:rsidRPr="003138AF">
        <w:rPr>
          <w:rFonts w:asciiTheme="majorBidi" w:hAnsiTheme="majorBidi" w:cstheme="majorBidi"/>
          <w:sz w:val="24"/>
          <w:szCs w:val="24"/>
        </w:rPr>
        <w:t>: La</w:t>
      </w:r>
      <w:r w:rsidRPr="003138AF">
        <w:rPr>
          <w:rFonts w:asciiTheme="majorBidi" w:hAnsiTheme="majorBidi" w:cstheme="majorBidi"/>
          <w:sz w:val="24"/>
          <w:szCs w:val="24"/>
        </w:rPr>
        <w:t xml:space="preserve"> cycloaddition dipolaire constitue une méthode générale très utilisée pour la préparation des hétérocycles à cinq chaînons. </w:t>
      </w:r>
      <w:r w:rsidRPr="003138AF">
        <w:rPr>
          <w:rFonts w:asciiTheme="majorBidi" w:hAnsiTheme="majorBidi" w:cstheme="majorBidi"/>
          <w:sz w:val="24"/>
          <w:szCs w:val="24"/>
        </w:rPr>
        <w:br/>
      </w:r>
    </w:p>
    <w:p w:rsidR="00DD3407" w:rsidRPr="003138AF" w:rsidRDefault="00DD3407" w:rsidP="00B715D6">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p>
    <w:p w:rsidR="000B39AE" w:rsidRPr="003138AF" w:rsidRDefault="000B39AE" w:rsidP="000B39AE">
      <w:pPr>
        <w:widowControl w:val="0"/>
        <w:tabs>
          <w:tab w:val="left" w:pos="0"/>
        </w:tabs>
        <w:autoSpaceDE w:val="0"/>
        <w:autoSpaceDN w:val="0"/>
        <w:adjustRightInd w:val="0"/>
        <w:spacing w:after="0" w:line="360" w:lineRule="auto"/>
        <w:jc w:val="both"/>
        <w:rPr>
          <w:rFonts w:asciiTheme="majorBidi" w:hAnsiTheme="majorBidi" w:cstheme="majorBidi"/>
          <w:sz w:val="24"/>
          <w:szCs w:val="24"/>
        </w:rPr>
      </w:pPr>
    </w:p>
    <w:p w:rsidR="008F6F7A" w:rsidRPr="003138AF" w:rsidRDefault="000B39AE" w:rsidP="000B39AE">
      <w:pPr>
        <w:widowControl w:val="0"/>
        <w:tabs>
          <w:tab w:val="left" w:pos="0"/>
        </w:tabs>
        <w:autoSpaceDE w:val="0"/>
        <w:autoSpaceDN w:val="0"/>
        <w:adjustRightInd w:val="0"/>
        <w:spacing w:after="0" w:line="360" w:lineRule="auto"/>
        <w:jc w:val="both"/>
        <w:rPr>
          <w:rFonts w:asciiTheme="majorBidi" w:hAnsiTheme="majorBidi" w:cstheme="majorBidi"/>
          <w:sz w:val="24"/>
          <w:szCs w:val="24"/>
        </w:rPr>
      </w:pPr>
      <w:r w:rsidRPr="003138AF">
        <w:rPr>
          <w:rFonts w:asciiTheme="majorBidi" w:hAnsiTheme="majorBidi" w:cstheme="majorBidi"/>
          <w:sz w:val="24"/>
          <w:szCs w:val="24"/>
        </w:rPr>
        <w:lastRenderedPageBreak/>
        <w:t xml:space="preserve">         </w:t>
      </w:r>
      <w:r w:rsidR="008F6F7A" w:rsidRPr="003138AF">
        <w:rPr>
          <w:rFonts w:asciiTheme="majorBidi" w:hAnsiTheme="majorBidi" w:cstheme="majorBidi"/>
          <w:sz w:val="24"/>
          <w:szCs w:val="24"/>
        </w:rPr>
        <w:t xml:space="preserve">Pour présenter le travail réalisé pendant mon mémoire j’ai agencé ce document en </w:t>
      </w:r>
      <w:r w:rsidR="003A56AE" w:rsidRPr="003138AF">
        <w:rPr>
          <w:rFonts w:asciiTheme="majorBidi" w:hAnsiTheme="majorBidi" w:cstheme="majorBidi"/>
          <w:sz w:val="24"/>
          <w:szCs w:val="24"/>
        </w:rPr>
        <w:t>quatre</w:t>
      </w:r>
      <w:r w:rsidR="008F6F7A" w:rsidRPr="003138AF">
        <w:rPr>
          <w:rFonts w:asciiTheme="majorBidi" w:hAnsiTheme="majorBidi" w:cstheme="majorBidi"/>
          <w:sz w:val="24"/>
          <w:szCs w:val="24"/>
        </w:rPr>
        <w:t xml:space="preserve"> chapitres :</w:t>
      </w:r>
    </w:p>
    <w:p w:rsidR="00DD3407" w:rsidRPr="003138AF" w:rsidRDefault="00DD3407" w:rsidP="00B715D6">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Le premier chapitre est essentiellement consacré à</w:t>
      </w:r>
      <w:r w:rsidR="005C4B27" w:rsidRPr="003138AF">
        <w:rPr>
          <w:rFonts w:asciiTheme="majorBidi" w:hAnsiTheme="majorBidi" w:cstheme="majorBidi"/>
          <w:sz w:val="24"/>
          <w:szCs w:val="24"/>
        </w:rPr>
        <w:t xml:space="preserve"> l’étude bibliographique</w:t>
      </w:r>
      <w:r w:rsidR="00F933A5" w:rsidRPr="003138AF">
        <w:rPr>
          <w:rFonts w:asciiTheme="majorBidi" w:hAnsiTheme="majorBidi" w:cstheme="majorBidi"/>
          <w:sz w:val="24"/>
          <w:szCs w:val="24"/>
        </w:rPr>
        <w:t xml:space="preserve"> </w:t>
      </w:r>
      <w:r w:rsidR="00666D74" w:rsidRPr="003138AF">
        <w:rPr>
          <w:rFonts w:asciiTheme="majorBidi" w:hAnsiTheme="majorBidi" w:cstheme="majorBidi"/>
          <w:sz w:val="24"/>
          <w:szCs w:val="24"/>
        </w:rPr>
        <w:t xml:space="preserve">qui se </w:t>
      </w:r>
      <w:r w:rsidR="003B6B2E" w:rsidRPr="003138AF">
        <w:rPr>
          <w:rFonts w:asciiTheme="majorBidi" w:hAnsiTheme="majorBidi" w:cstheme="majorBidi"/>
          <w:sz w:val="24"/>
          <w:szCs w:val="24"/>
        </w:rPr>
        <w:t>regroupe</w:t>
      </w:r>
      <w:r w:rsidR="00666D74" w:rsidRPr="003138AF">
        <w:rPr>
          <w:rFonts w:asciiTheme="majorBidi" w:hAnsiTheme="majorBidi" w:cstheme="majorBidi"/>
          <w:sz w:val="24"/>
          <w:szCs w:val="24"/>
        </w:rPr>
        <w:t xml:space="preserve"> en deux parties :</w:t>
      </w:r>
    </w:p>
    <w:p w:rsidR="008F6F7A" w:rsidRPr="003138AF" w:rsidRDefault="00666D74" w:rsidP="00BD3003">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 xml:space="preserve">La </w:t>
      </w:r>
      <w:r w:rsidR="00BD3003" w:rsidRPr="003138AF">
        <w:rPr>
          <w:rFonts w:asciiTheme="majorBidi" w:hAnsiTheme="majorBidi" w:cstheme="majorBidi"/>
          <w:sz w:val="24"/>
          <w:szCs w:val="24"/>
        </w:rPr>
        <w:t xml:space="preserve">première </w:t>
      </w:r>
      <w:r w:rsidRPr="003138AF">
        <w:rPr>
          <w:rFonts w:asciiTheme="majorBidi" w:hAnsiTheme="majorBidi" w:cstheme="majorBidi"/>
          <w:sz w:val="24"/>
          <w:szCs w:val="24"/>
        </w:rPr>
        <w:t>partie</w:t>
      </w:r>
      <w:r w:rsidR="008F6F7A" w:rsidRPr="003138AF">
        <w:rPr>
          <w:rFonts w:asciiTheme="majorBidi" w:hAnsiTheme="majorBidi" w:cstheme="majorBidi"/>
          <w:sz w:val="24"/>
          <w:szCs w:val="24"/>
        </w:rPr>
        <w:t xml:space="preserve"> est essentiellement consacré à l'optique non linéaire, qui ouvre, à l'heure actuelle, de nombreuses possibilités d'applications dans le domaine de l'instrumentation laser ou celui des télécommunications optiques à haut débit. </w:t>
      </w:r>
    </w:p>
    <w:p w:rsidR="008F6F7A" w:rsidRPr="003138AF" w:rsidRDefault="006C4876" w:rsidP="005C4CEB">
      <w:pPr>
        <w:widowControl w:val="0"/>
        <w:tabs>
          <w:tab w:val="left" w:pos="0"/>
          <w:tab w:val="left" w:pos="567"/>
        </w:tabs>
        <w:autoSpaceDE w:val="0"/>
        <w:autoSpaceDN w:val="0"/>
        <w:adjustRightInd w:val="0"/>
        <w:spacing w:before="240" w:after="0" w:line="360" w:lineRule="auto"/>
        <w:jc w:val="both"/>
        <w:rPr>
          <w:rFonts w:asciiTheme="majorBidi" w:hAnsiTheme="majorBidi" w:cstheme="majorBidi"/>
          <w:sz w:val="24"/>
          <w:szCs w:val="24"/>
        </w:rPr>
      </w:pPr>
      <w:r w:rsidRPr="003138AF">
        <w:rPr>
          <w:rFonts w:asciiTheme="majorBidi" w:hAnsiTheme="majorBidi" w:cstheme="majorBidi"/>
          <w:sz w:val="24"/>
          <w:szCs w:val="24"/>
        </w:rPr>
        <w:t xml:space="preserve">       </w:t>
      </w:r>
      <w:r w:rsidR="00B214E1" w:rsidRPr="003138AF">
        <w:rPr>
          <w:rFonts w:asciiTheme="majorBidi" w:hAnsiTheme="majorBidi" w:cstheme="majorBidi"/>
          <w:sz w:val="24"/>
          <w:szCs w:val="24"/>
        </w:rPr>
        <w:t xml:space="preserve">  </w:t>
      </w:r>
      <w:r w:rsidR="008F6F7A" w:rsidRPr="003138AF">
        <w:rPr>
          <w:rFonts w:asciiTheme="majorBidi" w:hAnsiTheme="majorBidi" w:cstheme="majorBidi"/>
          <w:sz w:val="24"/>
          <w:szCs w:val="24"/>
        </w:rPr>
        <w:t>L</w:t>
      </w:r>
      <w:r w:rsidR="00666D74" w:rsidRPr="003138AF">
        <w:rPr>
          <w:rFonts w:asciiTheme="majorBidi" w:hAnsiTheme="majorBidi" w:cstheme="majorBidi"/>
          <w:sz w:val="24"/>
          <w:szCs w:val="24"/>
        </w:rPr>
        <w:t>a</w:t>
      </w:r>
      <w:r w:rsidR="00F55455" w:rsidRPr="003138AF">
        <w:rPr>
          <w:rFonts w:asciiTheme="majorBidi" w:hAnsiTheme="majorBidi" w:cstheme="majorBidi"/>
          <w:sz w:val="24"/>
          <w:szCs w:val="24"/>
        </w:rPr>
        <w:t xml:space="preserve"> deuxième</w:t>
      </w:r>
      <w:r w:rsidR="008F6F7A" w:rsidRPr="003138AF">
        <w:rPr>
          <w:rFonts w:asciiTheme="majorBidi" w:hAnsiTheme="majorBidi" w:cstheme="majorBidi"/>
          <w:sz w:val="24"/>
          <w:szCs w:val="24"/>
        </w:rPr>
        <w:t xml:space="preserve"> </w:t>
      </w:r>
      <w:r w:rsidR="00F933A5" w:rsidRPr="003138AF">
        <w:rPr>
          <w:rFonts w:asciiTheme="majorBidi" w:hAnsiTheme="majorBidi" w:cstheme="majorBidi"/>
          <w:sz w:val="24"/>
          <w:szCs w:val="24"/>
        </w:rPr>
        <w:t xml:space="preserve"> </w:t>
      </w:r>
      <w:r w:rsidR="00666D74" w:rsidRPr="003138AF">
        <w:rPr>
          <w:rFonts w:asciiTheme="majorBidi" w:hAnsiTheme="majorBidi" w:cstheme="majorBidi"/>
          <w:sz w:val="24"/>
          <w:szCs w:val="24"/>
        </w:rPr>
        <w:t>partie</w:t>
      </w:r>
      <w:r w:rsidR="008F6F7A" w:rsidRPr="003138AF">
        <w:rPr>
          <w:rFonts w:asciiTheme="majorBidi" w:hAnsiTheme="majorBidi" w:cstheme="majorBidi"/>
          <w:sz w:val="24"/>
          <w:szCs w:val="24"/>
        </w:rPr>
        <w:t xml:space="preserve"> présente le principe de la diffraction des rayons X  et le formalisme mathématique appliqué à cette étude.</w:t>
      </w:r>
    </w:p>
    <w:p w:rsidR="008F6F7A" w:rsidRPr="003138AF" w:rsidRDefault="008F6F7A" w:rsidP="005C4CEB">
      <w:pPr>
        <w:widowControl w:val="0"/>
        <w:tabs>
          <w:tab w:val="left" w:pos="0"/>
        </w:tabs>
        <w:autoSpaceDE w:val="0"/>
        <w:autoSpaceDN w:val="0"/>
        <w:adjustRightInd w:val="0"/>
        <w:spacing w:before="240"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Le</w:t>
      </w:r>
      <w:r w:rsidR="00F933A5" w:rsidRPr="003138AF">
        <w:rPr>
          <w:rFonts w:asciiTheme="majorBidi" w:hAnsiTheme="majorBidi" w:cstheme="majorBidi"/>
          <w:sz w:val="24"/>
          <w:szCs w:val="24"/>
        </w:rPr>
        <w:t xml:space="preserve"> second</w:t>
      </w:r>
      <w:r w:rsidRPr="003138AF">
        <w:rPr>
          <w:rFonts w:asciiTheme="majorBidi" w:hAnsiTheme="majorBidi" w:cstheme="majorBidi"/>
          <w:sz w:val="24"/>
          <w:szCs w:val="24"/>
        </w:rPr>
        <w:t xml:space="preserve"> chapitre est constitué d’une présentation des dispositifs </w:t>
      </w:r>
      <w:r w:rsidR="00343ADE" w:rsidRPr="003138AF">
        <w:rPr>
          <w:rFonts w:asciiTheme="majorBidi" w:hAnsiTheme="majorBidi" w:cstheme="majorBidi"/>
          <w:sz w:val="24"/>
          <w:szCs w:val="24"/>
        </w:rPr>
        <w:t>expérimentaux</w:t>
      </w:r>
      <w:r w:rsidRPr="003138AF">
        <w:rPr>
          <w:rFonts w:asciiTheme="majorBidi" w:hAnsiTheme="majorBidi" w:cstheme="majorBidi"/>
          <w:sz w:val="24"/>
          <w:szCs w:val="24"/>
        </w:rPr>
        <w:t xml:space="preserve"> utilisés dans cette étude pour avoir les facteurs de structures à partir des intensités diffractées, enregistrés et traités par le formalisme de R. H. Blessing </w:t>
      </w:r>
      <w:r w:rsidRPr="003138AF">
        <w:rPr>
          <w:rFonts w:asciiTheme="majorBidi" w:hAnsiTheme="majorBidi" w:cstheme="majorBidi"/>
          <w:b/>
          <w:bCs/>
          <w:sz w:val="24"/>
          <w:szCs w:val="24"/>
        </w:rPr>
        <w:t>[</w:t>
      </w:r>
      <w:r w:rsidR="00383DF2" w:rsidRPr="003138AF">
        <w:rPr>
          <w:rFonts w:asciiTheme="majorBidi" w:hAnsiTheme="majorBidi" w:cstheme="majorBidi"/>
          <w:b/>
          <w:bCs/>
          <w:sz w:val="24"/>
          <w:szCs w:val="24"/>
        </w:rPr>
        <w:t>5</w:t>
      </w:r>
      <w:r w:rsidRPr="003138AF">
        <w:rPr>
          <w:rFonts w:asciiTheme="majorBidi" w:hAnsiTheme="majorBidi" w:cstheme="majorBidi"/>
          <w:b/>
          <w:bCs/>
          <w:sz w:val="24"/>
          <w:szCs w:val="24"/>
        </w:rPr>
        <w:t>].</w:t>
      </w:r>
      <w:r w:rsidRPr="003138AF">
        <w:rPr>
          <w:rFonts w:asciiTheme="majorBidi" w:hAnsiTheme="majorBidi" w:cstheme="majorBidi"/>
          <w:sz w:val="24"/>
          <w:szCs w:val="24"/>
        </w:rPr>
        <w:t xml:space="preserve"> La figure de diffraction obtenue est constituée de milliers de taches régulièrement espacées et parfaitement définies. Chaque tache de diffraction observée se caractérise par son l'intensité. Les intensités recueillies ne caractérisent que les modules des facteurs de structure. Pour étudier la </w:t>
      </w:r>
      <w:r w:rsidR="000B39AE" w:rsidRPr="003138AF">
        <w:rPr>
          <w:rFonts w:asciiTheme="majorBidi" w:hAnsiTheme="majorBidi" w:cstheme="majorBidi"/>
          <w:sz w:val="24"/>
          <w:szCs w:val="24"/>
        </w:rPr>
        <w:t>résolution</w:t>
      </w:r>
      <w:r w:rsidR="003B6B2E" w:rsidRPr="003138AF">
        <w:rPr>
          <w:rFonts w:asciiTheme="majorBidi" w:hAnsiTheme="majorBidi" w:cstheme="majorBidi"/>
          <w:sz w:val="24"/>
          <w:szCs w:val="24"/>
        </w:rPr>
        <w:t xml:space="preserve"> </w:t>
      </w:r>
      <w:r w:rsidR="003138AF" w:rsidRPr="003138AF">
        <w:rPr>
          <w:rFonts w:asciiTheme="majorBidi" w:hAnsiTheme="majorBidi" w:cstheme="majorBidi"/>
          <w:sz w:val="24"/>
          <w:szCs w:val="24"/>
        </w:rPr>
        <w:t>structurale</w:t>
      </w:r>
      <w:r w:rsidRPr="003138AF">
        <w:rPr>
          <w:rFonts w:asciiTheme="majorBidi" w:hAnsiTheme="majorBidi" w:cstheme="majorBidi"/>
          <w:sz w:val="24"/>
          <w:szCs w:val="24"/>
        </w:rPr>
        <w:t>, il est nécessaire de connaître non seulement les modules de ces facteurs de structure mais aussi leurs phases.</w:t>
      </w:r>
    </w:p>
    <w:p w:rsidR="008F6F7A" w:rsidRPr="003138AF" w:rsidRDefault="008F6F7A" w:rsidP="005C4CEB">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Dans le cas d’une structure cristalline centrosymétrique, les phases des facteurs de structure sont supposées égales aux phases calculées à partir de la superposition d’atomes sphériques. Par contre, dans le cas d’une structure non centrosymétrique, la phase peut prendre une valeur comprise entre 0 et 2</w:t>
      </w:r>
      <w:r w:rsidR="003B6B2E" w:rsidRPr="003138AF">
        <w:rPr>
          <w:rFonts w:asciiTheme="majorBidi" w:hAnsiTheme="majorBidi" w:cstheme="majorBidi"/>
          <w:position w:val="-6"/>
          <w:sz w:val="24"/>
          <w:szCs w:val="2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6" o:title=""/>
          </v:shape>
          <o:OLEObject Type="Embed" ProgID="Equation.3" ShapeID="_x0000_i1025" DrawAspect="Content" ObjectID="_1334990319" r:id="rId7"/>
        </w:object>
      </w:r>
      <w:r w:rsidRPr="003138AF">
        <w:rPr>
          <w:rFonts w:asciiTheme="majorBidi" w:hAnsiTheme="majorBidi" w:cstheme="majorBidi"/>
          <w:sz w:val="24"/>
          <w:szCs w:val="24"/>
        </w:rPr>
        <w:t xml:space="preserve"> et son estimation reste approximative</w:t>
      </w:r>
      <w:r w:rsidR="00383DF2" w:rsidRPr="003138AF">
        <w:rPr>
          <w:rFonts w:asciiTheme="majorBidi" w:hAnsiTheme="majorBidi" w:cstheme="majorBidi"/>
          <w:sz w:val="24"/>
          <w:szCs w:val="24"/>
        </w:rPr>
        <w:t xml:space="preserve"> </w:t>
      </w:r>
      <w:r w:rsidR="00383DF2" w:rsidRPr="003138AF">
        <w:rPr>
          <w:rFonts w:asciiTheme="majorBidi" w:hAnsiTheme="majorBidi" w:cstheme="majorBidi"/>
          <w:b/>
          <w:bCs/>
          <w:sz w:val="24"/>
          <w:szCs w:val="24"/>
        </w:rPr>
        <w:t>[6].</w:t>
      </w:r>
    </w:p>
    <w:p w:rsidR="008F6F7A" w:rsidRPr="003138AF" w:rsidRDefault="008F6F7A" w:rsidP="005C4CEB">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Pour pouvoir déterminer la structure de la molécule, il faut préalablement disposer d’un monocristal de taille suffisante de ce composé (arête voisine de 0.5 mm). Le passage d’un faisceau de rayons X à travers ce cristal donne naissance à un phénomène de diffraction des rayons X. L’enregistrement de ces réflexions conduit à une figure de diffraction, constituée de milliers de tâches. La mesure de la position de ces tâches et de leur intensité constitue l’information de base que recueille le cristallographe. Cependant, la relation entre les données recueillies et la position des atomes n’est pas simple. La figure de diffraction obtenue est fort éloignée d’une image transformée par un opérateur mathématique qui est une transformée de Fourier tridimensionnelle. Le problème est donc l’analyse de l’image obtenue pour calculer la transformée de Fourier inverse qui permet de connaître la structure de la molécule.</w:t>
      </w:r>
    </w:p>
    <w:p w:rsidR="005C4CEB" w:rsidRDefault="005C4CEB" w:rsidP="00B715D6">
      <w:pPr>
        <w:widowControl w:val="0"/>
        <w:tabs>
          <w:tab w:val="left" w:pos="0"/>
        </w:tabs>
        <w:autoSpaceDE w:val="0"/>
        <w:autoSpaceDN w:val="0"/>
        <w:adjustRightInd w:val="0"/>
        <w:spacing w:after="0" w:line="360" w:lineRule="auto"/>
        <w:ind w:firstLine="540"/>
        <w:jc w:val="both"/>
        <w:rPr>
          <w:rFonts w:asciiTheme="majorBidi" w:hAnsiTheme="majorBidi" w:cstheme="majorBidi"/>
          <w:sz w:val="24"/>
          <w:szCs w:val="24"/>
        </w:rPr>
      </w:pPr>
    </w:p>
    <w:p w:rsidR="008F6F7A" w:rsidRPr="003138AF" w:rsidRDefault="008F6F7A" w:rsidP="00076EDC">
      <w:pPr>
        <w:widowControl w:val="0"/>
        <w:tabs>
          <w:tab w:val="left" w:pos="0"/>
        </w:tabs>
        <w:autoSpaceDE w:val="0"/>
        <w:autoSpaceDN w:val="0"/>
        <w:adjustRightInd w:val="0"/>
        <w:spacing w:before="240"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lastRenderedPageBreak/>
        <w:t xml:space="preserve">Ce problème est rendu singulièrement ardu par le fait que certaines informations sont perdues lors de l’enregistrement: Les données recueillies ne décrivent qu’une partie de la transformée de Fourier. En effet, les coefficients de Fourier que constituent les facteurs de structure, sont des complexes décrits par un module et une phase. Or les intensités observées pour chaque tache de diffraction ne caractérisent que le module et ne contiennent aucune information sur les phases. Il faut donc, par d’autres méthodes, estimer les phases pour un certain nombre de tâches afin de trouver un modèle approché de la structure de la molécule. Ce modèle sera ensuite confronté aux résultats expérimentaux et affiné par des itérations successives. </w:t>
      </w:r>
    </w:p>
    <w:p w:rsidR="008F6F7A" w:rsidRPr="003138AF" w:rsidRDefault="00666D74" w:rsidP="00076EDC">
      <w:pPr>
        <w:widowControl w:val="0"/>
        <w:tabs>
          <w:tab w:val="left" w:pos="0"/>
        </w:tabs>
        <w:autoSpaceDE w:val="0"/>
        <w:autoSpaceDN w:val="0"/>
        <w:adjustRightInd w:val="0"/>
        <w:spacing w:before="240" w:after="0" w:line="360" w:lineRule="auto"/>
        <w:ind w:firstLine="540"/>
        <w:jc w:val="both"/>
        <w:rPr>
          <w:rFonts w:asciiTheme="majorBidi" w:hAnsiTheme="majorBidi" w:cstheme="majorBidi"/>
          <w:sz w:val="24"/>
          <w:szCs w:val="24"/>
        </w:rPr>
      </w:pPr>
      <w:r w:rsidRPr="003138AF">
        <w:rPr>
          <w:rFonts w:asciiTheme="majorBidi" w:hAnsiTheme="majorBidi" w:cstheme="majorBidi"/>
          <w:sz w:val="24"/>
          <w:szCs w:val="24"/>
        </w:rPr>
        <w:t>Dans l</w:t>
      </w:r>
      <w:r w:rsidR="003A56AE" w:rsidRPr="003138AF">
        <w:rPr>
          <w:rFonts w:asciiTheme="majorBidi" w:hAnsiTheme="majorBidi" w:cstheme="majorBidi"/>
          <w:sz w:val="24"/>
          <w:szCs w:val="24"/>
        </w:rPr>
        <w:t>e</w:t>
      </w:r>
      <w:r w:rsidRPr="003138AF">
        <w:rPr>
          <w:rFonts w:asciiTheme="majorBidi" w:hAnsiTheme="majorBidi" w:cstheme="majorBidi"/>
          <w:sz w:val="24"/>
          <w:szCs w:val="24"/>
        </w:rPr>
        <w:t xml:space="preserve"> </w:t>
      </w:r>
      <w:r w:rsidR="00F55455" w:rsidRPr="003138AF">
        <w:rPr>
          <w:rFonts w:asciiTheme="majorBidi" w:hAnsiTheme="majorBidi" w:cstheme="majorBidi"/>
          <w:sz w:val="24"/>
          <w:szCs w:val="24"/>
        </w:rPr>
        <w:t>troisième</w:t>
      </w:r>
      <w:r w:rsidRPr="003138AF">
        <w:rPr>
          <w:rFonts w:asciiTheme="majorBidi" w:hAnsiTheme="majorBidi" w:cstheme="majorBidi"/>
          <w:sz w:val="24"/>
          <w:szCs w:val="24"/>
        </w:rPr>
        <w:t xml:space="preserve"> chapitre de ce mémoire, </w:t>
      </w:r>
      <w:r w:rsidR="001332B4" w:rsidRPr="003138AF">
        <w:rPr>
          <w:rFonts w:asciiTheme="majorBidi" w:hAnsiTheme="majorBidi" w:cstheme="majorBidi"/>
          <w:sz w:val="24"/>
          <w:szCs w:val="24"/>
        </w:rPr>
        <w:t>nous avons entamé la résolution et l’affinement de la structure .</w:t>
      </w:r>
      <w:r w:rsidRPr="003138AF">
        <w:rPr>
          <w:rFonts w:asciiTheme="majorBidi" w:hAnsiTheme="majorBidi" w:cstheme="majorBidi"/>
          <w:sz w:val="24"/>
          <w:szCs w:val="24"/>
        </w:rPr>
        <w:t xml:space="preserve">Pour ce type d’étude, les affinements par la méthode des moindres carrées sont effectués avec des facteurs de structure correspondant à des angles de Bragg, pour améliorer les paramètres positionnelles et déterminer les paramètres de vibrations thermiques des </w:t>
      </w:r>
      <w:r w:rsidR="00826FBB" w:rsidRPr="003138AF">
        <w:rPr>
          <w:rFonts w:asciiTheme="majorBidi" w:hAnsiTheme="majorBidi" w:cstheme="majorBidi"/>
          <w:sz w:val="24"/>
          <w:szCs w:val="24"/>
        </w:rPr>
        <w:t>atomes</w:t>
      </w:r>
      <w:r w:rsidR="00826FBB">
        <w:rPr>
          <w:rFonts w:asciiTheme="majorBidi" w:hAnsiTheme="majorBidi" w:cstheme="majorBidi"/>
          <w:sz w:val="24"/>
          <w:szCs w:val="24"/>
        </w:rPr>
        <w:t>.</w:t>
      </w:r>
      <w:r w:rsidR="00826FBB" w:rsidRPr="003138AF">
        <w:rPr>
          <w:rFonts w:asciiTheme="majorBidi" w:hAnsiTheme="majorBidi" w:cstheme="majorBidi"/>
          <w:sz w:val="24"/>
          <w:szCs w:val="24"/>
        </w:rPr>
        <w:t xml:space="preserve"> L’</w:t>
      </w:r>
      <w:r w:rsidR="008F6F7A" w:rsidRPr="003138AF">
        <w:rPr>
          <w:rFonts w:asciiTheme="majorBidi" w:hAnsiTheme="majorBidi" w:cstheme="majorBidi"/>
          <w:sz w:val="24"/>
          <w:szCs w:val="24"/>
        </w:rPr>
        <w:t>affinement accompli, on passe à l’interprétation des résultats obtenus.</w:t>
      </w:r>
    </w:p>
    <w:p w:rsidR="00BE400E" w:rsidRPr="003138AF" w:rsidRDefault="005D120B" w:rsidP="005C4CEB">
      <w:pPr>
        <w:widowControl w:val="0"/>
        <w:tabs>
          <w:tab w:val="left" w:pos="0"/>
        </w:tabs>
        <w:autoSpaceDE w:val="0"/>
        <w:autoSpaceDN w:val="0"/>
        <w:adjustRightInd w:val="0"/>
        <w:spacing w:before="240" w:after="0" w:line="360" w:lineRule="auto"/>
        <w:jc w:val="both"/>
        <w:rPr>
          <w:rFonts w:asciiTheme="majorBidi" w:hAnsiTheme="majorBidi" w:cstheme="majorBidi"/>
          <w:sz w:val="24"/>
          <w:szCs w:val="24"/>
        </w:rPr>
      </w:pPr>
      <w:r w:rsidRPr="003138AF">
        <w:rPr>
          <w:rFonts w:asciiTheme="majorBidi" w:hAnsiTheme="majorBidi" w:cstheme="majorBidi"/>
          <w:sz w:val="24"/>
          <w:szCs w:val="24"/>
        </w:rPr>
        <w:t xml:space="preserve">Le </w:t>
      </w:r>
      <w:r w:rsidR="00F55455" w:rsidRPr="003138AF">
        <w:rPr>
          <w:rFonts w:asciiTheme="majorBidi" w:hAnsiTheme="majorBidi" w:cstheme="majorBidi"/>
          <w:sz w:val="24"/>
          <w:szCs w:val="24"/>
        </w:rPr>
        <w:t>quatrième</w:t>
      </w:r>
      <w:r w:rsidRPr="003138AF">
        <w:rPr>
          <w:rFonts w:asciiTheme="majorBidi" w:hAnsiTheme="majorBidi" w:cstheme="majorBidi"/>
          <w:sz w:val="24"/>
          <w:szCs w:val="24"/>
        </w:rPr>
        <w:t xml:space="preserve"> chapitre décrit les résultats concernant l'analyse structurale de la molécule.</w:t>
      </w:r>
    </w:p>
    <w:sectPr w:rsidR="00BE400E" w:rsidRPr="003138AF" w:rsidSect="00B60450">
      <w:headerReference w:type="default" r:id="rId8"/>
      <w:footerReference w:type="default" r:id="rId9"/>
      <w:pgSz w:w="11906" w:h="16838"/>
      <w:pgMar w:top="1440" w:right="1286"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9A7" w:rsidRDefault="001F59A7" w:rsidP="00057207">
      <w:pPr>
        <w:spacing w:after="0" w:line="240" w:lineRule="auto"/>
      </w:pPr>
      <w:r>
        <w:separator/>
      </w:r>
    </w:p>
  </w:endnote>
  <w:endnote w:type="continuationSeparator" w:id="1">
    <w:p w:rsidR="001F59A7" w:rsidRDefault="001F59A7" w:rsidP="000572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06" w:rsidRDefault="000F2FBA">
    <w:pPr>
      <w:pStyle w:val="Pieddepage"/>
      <w:jc w:val="center"/>
    </w:pPr>
    <w:fldSimple w:instr=" PAGE   \* MERGEFORMAT ">
      <w:r w:rsidR="00076EDC">
        <w:rPr>
          <w:noProof/>
        </w:rPr>
        <w:t>1</w:t>
      </w:r>
    </w:fldSimple>
  </w:p>
  <w:p w:rsidR="00E92C06" w:rsidRDefault="00E92C06" w:rsidP="00057207">
    <w:pPr>
      <w:pStyle w:val="Pieddepag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9A7" w:rsidRDefault="001F59A7" w:rsidP="00057207">
      <w:pPr>
        <w:spacing w:after="0" w:line="240" w:lineRule="auto"/>
      </w:pPr>
      <w:r>
        <w:separator/>
      </w:r>
    </w:p>
  </w:footnote>
  <w:footnote w:type="continuationSeparator" w:id="1">
    <w:p w:rsidR="001F59A7" w:rsidRDefault="001F59A7" w:rsidP="000572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06" w:rsidRPr="0012690D" w:rsidRDefault="00E92C06" w:rsidP="00CB228A">
    <w:pPr>
      <w:pStyle w:val="En-tte"/>
      <w:pBdr>
        <w:between w:val="single" w:sz="4" w:space="1" w:color="4F81BD"/>
      </w:pBdr>
      <w:jc w:val="center"/>
      <w:rPr>
        <w:rFonts w:ascii="Times New Roman" w:hAnsi="Times New Roman" w:cs="Times New Roman"/>
        <w:b/>
        <w:bCs/>
        <w:i/>
        <w:iCs/>
        <w:sz w:val="24"/>
        <w:szCs w:val="24"/>
      </w:rPr>
    </w:pPr>
    <w:r w:rsidRPr="00343ADE">
      <w:rPr>
        <w:rFonts w:ascii="Times New Roman" w:hAnsi="Times New Roman" w:cs="Times New Roman"/>
        <w:b/>
        <w:bCs/>
        <w:i/>
        <w:iCs/>
        <w:sz w:val="24"/>
        <w:szCs w:val="24"/>
      </w:rPr>
      <w:t>INTRODUCTION GENERAL</w:t>
    </w:r>
    <w:r w:rsidRPr="0012690D">
      <w:rPr>
        <w:rFonts w:ascii="Times New Roman" w:hAnsi="Times New Roman" w:cs="Times New Roman"/>
        <w:b/>
        <w:bCs/>
        <w:i/>
        <w:iCs/>
        <w:sz w:val="24"/>
        <w:szCs w:val="24"/>
      </w:rPr>
      <w:t>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F6F7A"/>
    <w:rsid w:val="000024D3"/>
    <w:rsid w:val="0000294D"/>
    <w:rsid w:val="00020C54"/>
    <w:rsid w:val="000547D1"/>
    <w:rsid w:val="000556A5"/>
    <w:rsid w:val="00057207"/>
    <w:rsid w:val="00061E3E"/>
    <w:rsid w:val="00076EDC"/>
    <w:rsid w:val="00093CCC"/>
    <w:rsid w:val="0009619B"/>
    <w:rsid w:val="000A0B1E"/>
    <w:rsid w:val="000B39AE"/>
    <w:rsid w:val="000D0D85"/>
    <w:rsid w:val="000D22B5"/>
    <w:rsid w:val="000F2FBA"/>
    <w:rsid w:val="001045B9"/>
    <w:rsid w:val="0012690D"/>
    <w:rsid w:val="001332B4"/>
    <w:rsid w:val="00141731"/>
    <w:rsid w:val="00146A6A"/>
    <w:rsid w:val="00157E92"/>
    <w:rsid w:val="0018142A"/>
    <w:rsid w:val="001863B7"/>
    <w:rsid w:val="00195852"/>
    <w:rsid w:val="001A4197"/>
    <w:rsid w:val="001B0319"/>
    <w:rsid w:val="001B14AF"/>
    <w:rsid w:val="001E59ED"/>
    <w:rsid w:val="001E5A38"/>
    <w:rsid w:val="001F59A7"/>
    <w:rsid w:val="00204876"/>
    <w:rsid w:val="00221DEE"/>
    <w:rsid w:val="00255FFD"/>
    <w:rsid w:val="00263570"/>
    <w:rsid w:val="00281F3F"/>
    <w:rsid w:val="002A0D7B"/>
    <w:rsid w:val="002A53FD"/>
    <w:rsid w:val="002D77B0"/>
    <w:rsid w:val="002E245A"/>
    <w:rsid w:val="002F129C"/>
    <w:rsid w:val="002F7824"/>
    <w:rsid w:val="00311890"/>
    <w:rsid w:val="003138AF"/>
    <w:rsid w:val="003142A0"/>
    <w:rsid w:val="00343ADE"/>
    <w:rsid w:val="00343FDF"/>
    <w:rsid w:val="0034773B"/>
    <w:rsid w:val="00360E04"/>
    <w:rsid w:val="00383DF2"/>
    <w:rsid w:val="00393BF6"/>
    <w:rsid w:val="003A56AE"/>
    <w:rsid w:val="003B44F4"/>
    <w:rsid w:val="003B6B2E"/>
    <w:rsid w:val="003D56E0"/>
    <w:rsid w:val="003D6991"/>
    <w:rsid w:val="003F6F3C"/>
    <w:rsid w:val="0045777E"/>
    <w:rsid w:val="004C246B"/>
    <w:rsid w:val="004D5537"/>
    <w:rsid w:val="004E3AAB"/>
    <w:rsid w:val="00534581"/>
    <w:rsid w:val="00534BBD"/>
    <w:rsid w:val="00573BAB"/>
    <w:rsid w:val="00575BBD"/>
    <w:rsid w:val="005A375F"/>
    <w:rsid w:val="005C4B27"/>
    <w:rsid w:val="005C4CEB"/>
    <w:rsid w:val="005D120B"/>
    <w:rsid w:val="005E547C"/>
    <w:rsid w:val="006320A7"/>
    <w:rsid w:val="00665C7E"/>
    <w:rsid w:val="00666D74"/>
    <w:rsid w:val="006B01AE"/>
    <w:rsid w:val="006B4139"/>
    <w:rsid w:val="006C4876"/>
    <w:rsid w:val="006F575F"/>
    <w:rsid w:val="007109DE"/>
    <w:rsid w:val="007337D0"/>
    <w:rsid w:val="00761834"/>
    <w:rsid w:val="007659D3"/>
    <w:rsid w:val="0076629C"/>
    <w:rsid w:val="007A1250"/>
    <w:rsid w:val="007C293F"/>
    <w:rsid w:val="007C4014"/>
    <w:rsid w:val="007D308D"/>
    <w:rsid w:val="007F367F"/>
    <w:rsid w:val="007F7AAC"/>
    <w:rsid w:val="00826FBB"/>
    <w:rsid w:val="00843A3D"/>
    <w:rsid w:val="00867A5E"/>
    <w:rsid w:val="00890428"/>
    <w:rsid w:val="00891F4D"/>
    <w:rsid w:val="008A5B93"/>
    <w:rsid w:val="008D475D"/>
    <w:rsid w:val="008F6F7A"/>
    <w:rsid w:val="00902501"/>
    <w:rsid w:val="00922F5E"/>
    <w:rsid w:val="00963461"/>
    <w:rsid w:val="00980709"/>
    <w:rsid w:val="00A111D1"/>
    <w:rsid w:val="00AC75BF"/>
    <w:rsid w:val="00B12BCA"/>
    <w:rsid w:val="00B214E1"/>
    <w:rsid w:val="00B2399C"/>
    <w:rsid w:val="00B2765F"/>
    <w:rsid w:val="00B335D8"/>
    <w:rsid w:val="00B60450"/>
    <w:rsid w:val="00B715D6"/>
    <w:rsid w:val="00BD3003"/>
    <w:rsid w:val="00BE400E"/>
    <w:rsid w:val="00BF39C4"/>
    <w:rsid w:val="00C2491C"/>
    <w:rsid w:val="00CB228A"/>
    <w:rsid w:val="00CC4A99"/>
    <w:rsid w:val="00CE7D5D"/>
    <w:rsid w:val="00D074EB"/>
    <w:rsid w:val="00D10EAD"/>
    <w:rsid w:val="00D31BF3"/>
    <w:rsid w:val="00DA6403"/>
    <w:rsid w:val="00DD3407"/>
    <w:rsid w:val="00DE3A2C"/>
    <w:rsid w:val="00E11FC7"/>
    <w:rsid w:val="00E14050"/>
    <w:rsid w:val="00E17B23"/>
    <w:rsid w:val="00E5704B"/>
    <w:rsid w:val="00E804B0"/>
    <w:rsid w:val="00E92C06"/>
    <w:rsid w:val="00EA508A"/>
    <w:rsid w:val="00ED7377"/>
    <w:rsid w:val="00EE2963"/>
    <w:rsid w:val="00F052B1"/>
    <w:rsid w:val="00F55455"/>
    <w:rsid w:val="00F57A25"/>
    <w:rsid w:val="00F667EA"/>
    <w:rsid w:val="00F85D21"/>
    <w:rsid w:val="00F91650"/>
    <w:rsid w:val="00F933A5"/>
    <w:rsid w:val="00FA15E1"/>
    <w:rsid w:val="00FB38D8"/>
    <w:rsid w:val="00FD7026"/>
    <w:rsid w:val="00FF5C8C"/>
    <w:rsid w:val="00FF65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F7A"/>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8F6F7A"/>
    <w:pPr>
      <w:spacing w:before="360" w:after="0" w:line="36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8F6F7A"/>
    <w:rPr>
      <w:rFonts w:ascii="Times New Roman" w:eastAsia="Times New Roman" w:hAnsi="Times New Roman" w:cs="Times New Roman"/>
      <w:sz w:val="24"/>
      <w:szCs w:val="24"/>
      <w:lang w:eastAsia="fr-FR"/>
    </w:rPr>
  </w:style>
  <w:style w:type="paragraph" w:styleId="NormalWeb">
    <w:name w:val="Normal (Web)"/>
    <w:basedOn w:val="Normal"/>
    <w:rsid w:val="008F6F7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057207"/>
    <w:pPr>
      <w:tabs>
        <w:tab w:val="center" w:pos="4153"/>
        <w:tab w:val="right" w:pos="8306"/>
      </w:tabs>
    </w:pPr>
  </w:style>
  <w:style w:type="character" w:customStyle="1" w:styleId="En-tteCar">
    <w:name w:val="En-tête Car"/>
    <w:basedOn w:val="Policepardfaut"/>
    <w:link w:val="En-tte"/>
    <w:uiPriority w:val="99"/>
    <w:rsid w:val="00057207"/>
    <w:rPr>
      <w:sz w:val="22"/>
      <w:szCs w:val="22"/>
      <w:lang w:eastAsia="en-US"/>
    </w:rPr>
  </w:style>
  <w:style w:type="paragraph" w:styleId="Pieddepage">
    <w:name w:val="footer"/>
    <w:basedOn w:val="Normal"/>
    <w:link w:val="PieddepageCar"/>
    <w:uiPriority w:val="99"/>
    <w:unhideWhenUsed/>
    <w:rsid w:val="00057207"/>
    <w:pPr>
      <w:tabs>
        <w:tab w:val="center" w:pos="4153"/>
        <w:tab w:val="right" w:pos="8306"/>
      </w:tabs>
    </w:pPr>
  </w:style>
  <w:style w:type="character" w:customStyle="1" w:styleId="PieddepageCar">
    <w:name w:val="Pied de page Car"/>
    <w:basedOn w:val="Policepardfaut"/>
    <w:link w:val="Pieddepage"/>
    <w:uiPriority w:val="99"/>
    <w:rsid w:val="00057207"/>
    <w:rPr>
      <w:sz w:val="22"/>
      <w:szCs w:val="22"/>
      <w:lang w:eastAsia="en-US"/>
    </w:rPr>
  </w:style>
  <w:style w:type="paragraph" w:styleId="Textedebulles">
    <w:name w:val="Balloon Text"/>
    <w:basedOn w:val="Normal"/>
    <w:link w:val="TextedebullesCar"/>
    <w:uiPriority w:val="99"/>
    <w:semiHidden/>
    <w:unhideWhenUsed/>
    <w:rsid w:val="000572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5720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945</Words>
  <Characters>5199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INTRODUCTION GENERAL</vt:lpstr>
    </vt:vector>
  </TitlesOfParts>
  <Company/>
  <LinksUpToDate>false</LinksUpToDate>
  <CharactersWithSpaces>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GENERAL</dc:title>
  <dc:subject/>
  <dc:creator>client</dc:creator>
  <cp:keywords/>
  <dc:description/>
  <cp:lastModifiedBy>EL-BAHDJA</cp:lastModifiedBy>
  <cp:revision>20</cp:revision>
  <cp:lastPrinted>2010-05-10T07:49:00Z</cp:lastPrinted>
  <dcterms:created xsi:type="dcterms:W3CDTF">2010-05-04T09:57:00Z</dcterms:created>
  <dcterms:modified xsi:type="dcterms:W3CDTF">2010-05-10T07:52:00Z</dcterms:modified>
</cp:coreProperties>
</file>